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671B" w14:textId="18A8B655" w:rsidR="003F537A" w:rsidRDefault="003F537A" w:rsidP="0020037C">
      <w:pPr>
        <w:pStyle w:val="Default"/>
        <w:jc w:val="center"/>
        <w:rPr>
          <w:b/>
          <w:bCs/>
          <w:lang w:val="uk-UA"/>
        </w:rPr>
      </w:pPr>
    </w:p>
    <w:p w14:paraId="61CC1247" w14:textId="213A4FF5" w:rsidR="005700FE" w:rsidRDefault="005700FE" w:rsidP="005700FE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B460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C43C4E">
        <w:rPr>
          <w:rFonts w:ascii="Times New Roman" w:eastAsia="Times New Roman" w:hAnsi="Times New Roman"/>
          <w:sz w:val="24"/>
          <w:szCs w:val="24"/>
          <w:lang w:eastAsia="uk-UA"/>
        </w:rPr>
        <w:t>109</w:t>
      </w:r>
    </w:p>
    <w:p w14:paraId="6CE62AC5" w14:textId="77777777" w:rsidR="005700FE" w:rsidRDefault="005700FE" w:rsidP="005700FE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5503C6DE" w14:textId="2EA06307" w:rsidR="005700FE" w:rsidRDefault="005700FE" w:rsidP="005700F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 </w:t>
      </w:r>
      <w:bookmarkStart w:id="0" w:name="_GoBack"/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726E6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7C7369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7C736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7C7369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7C7369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  <w:bookmarkEnd w:id="0"/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295D589" w14:textId="3C224C39" w:rsidR="0020037C" w:rsidRPr="00A17F68" w:rsidRDefault="0020037C" w:rsidP="00AE3547">
      <w:pPr>
        <w:spacing w:line="216" w:lineRule="auto"/>
        <w:jc w:val="center"/>
        <w:rPr>
          <w:rFonts w:ascii="Times New Roman" w:hAnsi="Times New Roman"/>
          <w:b/>
          <w:i/>
          <w:spacing w:val="-8"/>
          <w:sz w:val="24"/>
          <w:szCs w:val="24"/>
        </w:rPr>
      </w:pPr>
      <w:r w:rsidRPr="00A17F68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AE4939" w:rsidRPr="00A17F68">
        <w:rPr>
          <w:rFonts w:ascii="Times New Roman" w:hAnsi="Times New Roman"/>
          <w:b/>
          <w:i/>
          <w:spacing w:val="-8"/>
          <w:sz w:val="24"/>
          <w:szCs w:val="24"/>
        </w:rPr>
        <w:t>Призначення грошової компенсації замість санаторно-курортної путівки громадянам. які постраждали внаслідок Чорнобильської катастрофи</w:t>
      </w:r>
      <w:r w:rsidRPr="00A17F68">
        <w:rPr>
          <w:rFonts w:ascii="Times New Roman" w:hAnsi="Times New Roman"/>
          <w:b/>
          <w:bCs/>
          <w:i/>
          <w:sz w:val="24"/>
          <w:szCs w:val="24"/>
        </w:rPr>
        <w:t>»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6095"/>
      </w:tblGrid>
      <w:tr w:rsidR="00915959" w:rsidRPr="00915959" w14:paraId="4F27A751" w14:textId="77777777" w:rsidTr="00292911">
        <w:trPr>
          <w:trHeight w:val="227"/>
          <w:jc w:val="center"/>
        </w:trPr>
        <w:tc>
          <w:tcPr>
            <w:tcW w:w="10343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92911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92911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7E99C969" w:rsidR="004C718C" w:rsidRPr="00AE3C21" w:rsidRDefault="004C718C" w:rsidP="00D84DD6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D84DD6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292911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1E81F97F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7B4D30D5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B1DD2CF" w:rsidR="00915959" w:rsidRPr="00292911" w:rsidRDefault="007C7369" w:rsidP="00D84DD6">
            <w:r w:rsidRPr="007C736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292911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2CE3D3D7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B42B918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9C3AD55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2DD40AA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84DD6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6D0688BB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EB85902" w14:textId="77777777" w:rsidR="00D84DD6" w:rsidRPr="00D84DD6" w:rsidRDefault="00D84DD6" w:rsidP="00D84D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713B6AEE" w:rsidR="00915959" w:rsidRPr="0045544A" w:rsidRDefault="00D84DD6" w:rsidP="00D8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A36A52" w14:paraId="4A835BA5" w14:textId="77777777" w:rsidTr="00292911">
        <w:trPr>
          <w:trHeight w:val="111"/>
          <w:jc w:val="center"/>
        </w:trPr>
        <w:tc>
          <w:tcPr>
            <w:tcW w:w="10343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92911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5748F5E7" w14:textId="250E789C" w:rsidR="000C7C29" w:rsidRDefault="000D31A5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F6C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F6C0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  <w:r w:rsidR="004C12E2" w:rsidRPr="008F6C0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№796-XII від 28.02.91р.</w:t>
            </w:r>
          </w:p>
          <w:p w14:paraId="45B7E3B9" w14:textId="77777777" w:rsidR="008726E6" w:rsidRPr="008726E6" w:rsidRDefault="008726E6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3AA8094C" w:rsidR="008726E6" w:rsidRPr="008F6C03" w:rsidRDefault="008726E6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6E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292911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00161CA8" w14:textId="7F958E94" w:rsidR="000C7C29" w:rsidRPr="00B77C53" w:rsidRDefault="00B00DB3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77C53">
              <w:rPr>
                <w:rFonts w:ascii="Times New Roman" w:hAnsi="Times New Roman"/>
                <w:sz w:val="24"/>
                <w:szCs w:val="24"/>
              </w:rPr>
              <w:t>1</w:t>
            </w:r>
            <w:r w:rsidR="005860DF" w:rsidRPr="00B77C53">
              <w:rPr>
                <w:rFonts w:ascii="Times New Roman" w:hAnsi="Times New Roman"/>
                <w:sz w:val="24"/>
                <w:szCs w:val="24"/>
              </w:rPr>
              <w:t>.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 w:rsidR="000C5BCC" w:rsidRPr="00B77C53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23.11.2016 р. № 854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8652B0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Деякі питання </w:t>
            </w:r>
            <w:r w:rsidR="000C5BCC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санаторно-курортного лікування та відпочинку громадян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>, які постраждали внаслідок Чорнобильської катастрофи»</w:t>
            </w:r>
          </w:p>
          <w:p w14:paraId="31CBA5EF" w14:textId="7D6E8AAF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77C53">
              <w:rPr>
                <w:rFonts w:ascii="Times New Roman" w:hAnsi="Times New Roman"/>
                <w:spacing w:val="-8"/>
                <w:sz w:val="24"/>
                <w:szCs w:val="24"/>
              </w:rPr>
              <w:t>2.  Постанова Кабінету Міністрів України від 08 листопада 2017 року N 838 "Про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катастрофи"</w:t>
            </w:r>
          </w:p>
        </w:tc>
      </w:tr>
      <w:tr w:rsidR="009467DF" w:rsidRPr="00AE3C21" w14:paraId="770B2EBF" w14:textId="77777777" w:rsidTr="00292911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529A55CC" w:rsidR="009467DF" w:rsidRPr="00324BEB" w:rsidRDefault="00913621" w:rsidP="00913621">
            <w:pPr>
              <w:pStyle w:val="Default"/>
              <w:jc w:val="both"/>
              <w:rPr>
                <w:lang w:val="uk-UA"/>
              </w:rPr>
            </w:pPr>
            <w:r w:rsidRPr="00913621">
              <w:rPr>
                <w:lang w:val="uk-UA"/>
              </w:rPr>
              <w:t xml:space="preserve">Наказ Міністерства соціальної політики України, яким щороку визначається розмір грошової компенсації замість путівки, відповідно до вимог пункту 1 постанови Кабінету Міністрів України від 08.11.2017 № 838 „Про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катастрофи”, наказ Міністерства соціальної політики України від 22.01.2018  № 73 „Про затвердження форм документів щодо </w:t>
            </w:r>
            <w:r w:rsidRPr="00913621">
              <w:rPr>
                <w:lang w:val="uk-UA"/>
              </w:rPr>
              <w:lastRenderedPageBreak/>
              <w:t>забезпечення структурними підрозділами з питань соціального захисту населення санаторно-курортним лікуванням осіб пільгових категорій”</w:t>
            </w:r>
          </w:p>
        </w:tc>
      </w:tr>
      <w:tr w:rsidR="009467DF" w:rsidRPr="00AE3C21" w14:paraId="687794A3" w14:textId="77777777" w:rsidTr="00292911">
        <w:trPr>
          <w:trHeight w:val="425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292911">
        <w:trPr>
          <w:trHeight w:val="201"/>
          <w:jc w:val="center"/>
        </w:trPr>
        <w:tc>
          <w:tcPr>
            <w:tcW w:w="10343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92911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25B8E1CC" w:rsidR="007067D5" w:rsidRPr="00934EC7" w:rsidRDefault="000D31A5" w:rsidP="00934E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3547" w:rsidRPr="00AE3547">
              <w:rPr>
                <w:rFonts w:ascii="Times New Roman" w:hAnsi="Times New Roman"/>
                <w:spacing w:val="-8"/>
                <w:sz w:val="24"/>
                <w:szCs w:val="24"/>
              </w:rPr>
              <w:t>особи, які постраждали внаслідок Чорнобильської катастрофи</w:t>
            </w:r>
            <w:r w:rsidR="00F806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1 категорії та </w:t>
            </w:r>
            <w:r w:rsidR="008876F5">
              <w:rPr>
                <w:rFonts w:ascii="Times New Roman" w:hAnsi="Times New Roman"/>
                <w:spacing w:val="-8"/>
                <w:sz w:val="24"/>
                <w:szCs w:val="24"/>
              </w:rPr>
              <w:t>діти</w:t>
            </w:r>
            <w:r w:rsidR="00F806BE" w:rsidRPr="00F806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 інвалідністю, пов’язан</w:t>
            </w:r>
            <w:r w:rsidR="00934EC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ою з Чорнобильською катастрофою, </w:t>
            </w:r>
            <w:r w:rsidR="00AE3547" w:rsidRPr="00AE3547">
              <w:rPr>
                <w:rFonts w:ascii="Times New Roman" w:hAnsi="Times New Roman"/>
                <w:spacing w:val="-8"/>
                <w:sz w:val="24"/>
                <w:szCs w:val="24"/>
              </w:rPr>
              <w:t>на яких поширюється Закон України «Про статус і соціальний захист громадян, які постраждали внаслідок Чорнобильської катастрофи»</w:t>
            </w:r>
          </w:p>
        </w:tc>
      </w:tr>
      <w:tr w:rsidR="00286E0C" w:rsidRPr="00AE3C21" w14:paraId="7D79081E" w14:textId="77777777" w:rsidTr="00292911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18807F27" w14:textId="19066908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Для взяття на облік для забезпечення путівкою шляхом надання грошової допомоги</w:t>
            </w:r>
            <w:r w:rsidR="001A4346"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виплати грошової компенсації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громадянин, віднесений до категорії 1, один із батьків дитини з інвалідністю або особа, яка їх замінює, подають до органу соціального захисту населення:</w:t>
            </w:r>
          </w:p>
          <w:p w14:paraId="149AC859" w14:textId="7777777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1)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  <w:t>для забезпечення громадянина, віднесеного до категорії 1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7CAA5DEB" w14:textId="2435F44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 заяву про взяття на облік для отримання путівки за формою, затвердженою </w:t>
            </w:r>
            <w:proofErr w:type="spellStart"/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Мінсоцполітики</w:t>
            </w:r>
            <w:proofErr w:type="spellEnd"/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2F81D60C" w14:textId="0D1E6D39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довідку для одержання путівки на санаторно-курортне лікування за формою 070/о;</w:t>
            </w:r>
          </w:p>
          <w:p w14:paraId="4E912946" w14:textId="74A8CE8C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копію посвідчення громадянина, віднесеног</w:t>
            </w:r>
            <w:r w:rsidR="00EF22E3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 до категорії 1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44238E38" w14:textId="14617B73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 </w:t>
            </w:r>
            <w:r w:rsidR="00EF22E3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паспорта.</w:t>
            </w:r>
          </w:p>
          <w:p w14:paraId="6758F5A9" w14:textId="7777777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2)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  <w:t>для забезпечення дитини з інвалідністю та одного із батьків або особи, яка їх замінює:</w:t>
            </w:r>
          </w:p>
          <w:p w14:paraId="40559A38" w14:textId="4BC7638A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заяву про взяття на облік для отримання путівки за формою, затвердженою </w:t>
            </w:r>
            <w:proofErr w:type="spellStart"/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Мінсоцполітики</w:t>
            </w:r>
            <w:proofErr w:type="spellEnd"/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32D9446A" w14:textId="03191098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на санаторно-курортне лікування за формою 070/о;</w:t>
            </w:r>
          </w:p>
          <w:p w14:paraId="46348F69" w14:textId="1D28435F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одним із батьків дитини з інвалідністю або особою, яка їх замінює, на санаторно-курортне лікування за формою 070/о (у разі наявності);</w:t>
            </w:r>
          </w:p>
          <w:p w14:paraId="530540A3" w14:textId="119146AB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посвідчення дитини з інвалідністю (із вкладкою);</w:t>
            </w:r>
          </w:p>
          <w:p w14:paraId="50F00555" w14:textId="0DA52A63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посвідчення громадянина, віднесен</w:t>
            </w:r>
            <w:r w:rsidR="00F347B9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ого до категорії 1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у разі наявності такого у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одного з батьків дитини з інвалідністю або особи, яка їх замінює;</w:t>
            </w:r>
          </w:p>
          <w:p w14:paraId="3CD998A0" w14:textId="1FC31087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свідоцтва про народження або копію паспорта дитини з інвалідністю;</w:t>
            </w:r>
          </w:p>
          <w:p w14:paraId="42CF7615" w14:textId="41258F28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 одного з батьків дитини з інвалідністю або особи, яка їх замінює;</w:t>
            </w:r>
          </w:p>
          <w:p w14:paraId="3254FC58" w14:textId="61D52238" w:rsidR="00140F00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про склад сім’ї або зареєстрованих у житловому приміщенні / будинку осіб.</w:t>
            </w:r>
          </w:p>
          <w:p w14:paraId="63DE4A4C" w14:textId="245C7320" w:rsidR="00E12BD9" w:rsidRPr="00041030" w:rsidRDefault="00E12BD9" w:rsidP="002E1D5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Під час подання копій документів, пред’являються оригінали зазначених документів.</w:t>
            </w:r>
          </w:p>
          <w:p w14:paraId="3DEE63D7" w14:textId="52460944" w:rsidR="00E12BD9" w:rsidRPr="00041030" w:rsidRDefault="00E12BD9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292911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3486D7CC" w:rsidR="005C5A89" w:rsidRPr="00041030" w:rsidRDefault="00F01791" w:rsidP="00D40606">
            <w:pPr>
              <w:pStyle w:val="Default"/>
              <w:rPr>
                <w:lang w:val="uk-UA"/>
              </w:rPr>
            </w:pPr>
            <w:proofErr w:type="spellStart"/>
            <w:r w:rsidRPr="00041030">
              <w:t>Заява</w:t>
            </w:r>
            <w:proofErr w:type="spellEnd"/>
            <w:r w:rsidRPr="00041030">
              <w:t xml:space="preserve"> та </w:t>
            </w:r>
            <w:proofErr w:type="spellStart"/>
            <w:r w:rsidRPr="00041030">
              <w:t>документи</w:t>
            </w:r>
            <w:proofErr w:type="spellEnd"/>
            <w:r w:rsidRPr="00041030">
              <w:t xml:space="preserve">, </w:t>
            </w:r>
            <w:proofErr w:type="spellStart"/>
            <w:r w:rsidRPr="00041030">
              <w:t>подаються</w:t>
            </w:r>
            <w:proofErr w:type="spellEnd"/>
            <w:r w:rsidRPr="00041030">
              <w:t xml:space="preserve">  особою </w:t>
            </w:r>
            <w:proofErr w:type="spellStart"/>
            <w:r w:rsidRPr="00041030">
              <w:t>або</w:t>
            </w:r>
            <w:proofErr w:type="spellEnd"/>
            <w:r w:rsidRPr="00041030">
              <w:t xml:space="preserve"> </w:t>
            </w:r>
            <w:proofErr w:type="spellStart"/>
            <w:r w:rsidRPr="00041030">
              <w:t>законним</w:t>
            </w:r>
            <w:proofErr w:type="spellEnd"/>
            <w:r w:rsidRPr="00041030">
              <w:t xml:space="preserve"> </w:t>
            </w:r>
            <w:proofErr w:type="spellStart"/>
            <w:r w:rsidRPr="00041030">
              <w:t>представником</w:t>
            </w:r>
            <w:proofErr w:type="spellEnd"/>
            <w:r w:rsidRPr="00041030">
              <w:t xml:space="preserve"> </w:t>
            </w:r>
            <w:proofErr w:type="spellStart"/>
            <w:r w:rsidRPr="00041030">
              <w:t>зазначеної</w:t>
            </w:r>
            <w:proofErr w:type="spellEnd"/>
            <w:r w:rsidRPr="00041030">
              <w:t xml:space="preserve"> </w:t>
            </w:r>
            <w:proofErr w:type="spellStart"/>
            <w:r w:rsidRPr="00041030">
              <w:t>категорії</w:t>
            </w:r>
            <w:proofErr w:type="spellEnd"/>
            <w:r w:rsidRPr="00041030">
              <w:t xml:space="preserve"> </w:t>
            </w:r>
            <w:proofErr w:type="spellStart"/>
            <w:r w:rsidRPr="00041030">
              <w:t>громадян</w:t>
            </w:r>
            <w:proofErr w:type="spellEnd"/>
          </w:p>
        </w:tc>
      </w:tr>
      <w:tr w:rsidR="00286E0C" w:rsidRPr="00AE3C21" w14:paraId="65572E0B" w14:textId="77777777" w:rsidTr="00292911">
        <w:trPr>
          <w:trHeight w:val="481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3FBD122B" w14:textId="77777777" w:rsidR="00831E75" w:rsidRPr="00831E75" w:rsidRDefault="00831E75" w:rsidP="00831E75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831E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831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безоплатно</w:t>
            </w:r>
          </w:p>
          <w:p w14:paraId="22565713" w14:textId="62DFD361" w:rsidR="00286E0C" w:rsidRPr="00041030" w:rsidRDefault="00286E0C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31E5E261" w14:textId="77777777" w:rsidTr="00292911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5159DED4" w:rsidR="00286E0C" w:rsidRPr="00041030" w:rsidRDefault="00F347B9" w:rsidP="003F6B8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Громадяни, віднесені до </w:t>
            </w:r>
            <w:hyperlink r:id="rId11" w:anchor="n107" w:tgtFrame="_blank" w:history="1">
              <w:r w:rsidRPr="00041030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категорії 1</w:t>
              </w:r>
            </w:hyperlink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та діти з інвалідністю забезпечуються путівками шляхом надання грошової допомоги відповідно до медичних показань з </w:t>
            </w:r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урахуванням пільг, передбачених законодавством для конкретної категорії осіб, у порядку черговості в межах бюджетних призначень.</w:t>
            </w:r>
          </w:p>
        </w:tc>
      </w:tr>
      <w:tr w:rsidR="00286E0C" w:rsidRPr="00AE3C21" w14:paraId="5B8CB9BE" w14:textId="77777777" w:rsidTr="00292911">
        <w:trPr>
          <w:trHeight w:val="1991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0B5C5702" w14:textId="3B9645EC" w:rsidR="00F66548" w:rsidRPr="00041030" w:rsidRDefault="00506C75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275E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217BBB3D" w14:textId="185F348E" w:rsidR="008A46C9" w:rsidRDefault="00F66548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506C75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 </w:t>
            </w:r>
            <w:r w:rsidR="00BF583A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  <w:p w14:paraId="3E61E1E3" w14:textId="7030295D" w:rsidR="00BD2784" w:rsidRDefault="00BD2784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 я</w:t>
            </w:r>
            <w:r w:rsidRPr="00A21A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кщо громадянин, віднесений до категорії 1, дитина з інвалідністю, в поточному році одержали безоплатну путівку в іншій організації, вони знімаються з обліку для забезпечення путівкою.</w:t>
            </w:r>
          </w:p>
          <w:p w14:paraId="78FEA1A9" w14:textId="58DC9413" w:rsidR="00A21A70" w:rsidRPr="00A21A70" w:rsidRDefault="00A21A70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664609" w:rsidRPr="00AE3C21" w14:paraId="7D905EE3" w14:textId="77777777" w:rsidTr="00292911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2BDD96FB" w:rsidR="00664609" w:rsidRPr="00041030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Виплата грошової компенсації замість путівки.</w:t>
            </w:r>
          </w:p>
        </w:tc>
      </w:tr>
      <w:tr w:rsidR="00664609" w:rsidRPr="00AE3C21" w14:paraId="436B6BC6" w14:textId="77777777" w:rsidTr="00292911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61D52859" w:rsidR="00664609" w:rsidRPr="00041030" w:rsidRDefault="00664609" w:rsidP="00664609">
            <w:pPr>
              <w:pStyle w:val="Default"/>
              <w:rPr>
                <w:lang w:val="uk-UA"/>
              </w:rPr>
            </w:pPr>
            <w:r w:rsidRPr="00041030">
              <w:rPr>
                <w:lang w:val="uk-UA"/>
              </w:rPr>
              <w:t>Особисто.</w:t>
            </w:r>
          </w:p>
        </w:tc>
      </w:tr>
    </w:tbl>
    <w:p w14:paraId="667F039C" w14:textId="77777777" w:rsidR="00F660F2" w:rsidRDefault="00F660F2" w:rsidP="00D4060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DC85F10" w14:textId="77777777" w:rsidR="00F660F2" w:rsidRDefault="00F660F2" w:rsidP="00D4060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1E3911E" w14:textId="157327BE" w:rsidR="00D40606" w:rsidRPr="00D40606" w:rsidRDefault="00D40606" w:rsidP="00D40606">
      <w:pPr>
        <w:spacing w:after="0"/>
        <w:rPr>
          <w:rFonts w:ascii="Times New Roman" w:hAnsi="Times New Roman"/>
          <w:b/>
          <w:sz w:val="28"/>
          <w:szCs w:val="28"/>
        </w:rPr>
      </w:pPr>
      <w:r w:rsidRPr="00D4060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D09CDA5" w:rsidR="0007570B" w:rsidRDefault="00D40606" w:rsidP="001F62E4">
      <w:pPr>
        <w:spacing w:after="0"/>
        <w:rPr>
          <w:rFonts w:ascii="Times New Roman" w:hAnsi="Times New Roman"/>
          <w:sz w:val="24"/>
          <w:szCs w:val="24"/>
        </w:rPr>
      </w:pPr>
      <w:r w:rsidRPr="00D40606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</w:t>
      </w:r>
      <w:r w:rsidR="00D908CC">
        <w:rPr>
          <w:rFonts w:ascii="Times New Roman" w:hAnsi="Times New Roman"/>
          <w:b/>
          <w:sz w:val="28"/>
          <w:szCs w:val="28"/>
        </w:rPr>
        <w:t xml:space="preserve">              Наталія ПАЛАМАРЧУК</w:t>
      </w:r>
    </w:p>
    <w:sectPr w:rsidR="0007570B" w:rsidSect="00D637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37352389"/>
    <w:multiLevelType w:val="hybridMultilevel"/>
    <w:tmpl w:val="4D147C18"/>
    <w:lvl w:ilvl="0" w:tplc="22FED5F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1030"/>
    <w:rsid w:val="00044403"/>
    <w:rsid w:val="0007570B"/>
    <w:rsid w:val="000A0109"/>
    <w:rsid w:val="000A2014"/>
    <w:rsid w:val="000C27C9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1F62E4"/>
    <w:rsid w:val="0020037C"/>
    <w:rsid w:val="0024655C"/>
    <w:rsid w:val="00286E0C"/>
    <w:rsid w:val="00292911"/>
    <w:rsid w:val="002E1D58"/>
    <w:rsid w:val="00310537"/>
    <w:rsid w:val="00322734"/>
    <w:rsid w:val="00324BEB"/>
    <w:rsid w:val="00332CF0"/>
    <w:rsid w:val="003643B0"/>
    <w:rsid w:val="003647C0"/>
    <w:rsid w:val="00381F45"/>
    <w:rsid w:val="003B7B88"/>
    <w:rsid w:val="003E3CCD"/>
    <w:rsid w:val="003F0CE3"/>
    <w:rsid w:val="003F537A"/>
    <w:rsid w:val="003F6001"/>
    <w:rsid w:val="003F6B8E"/>
    <w:rsid w:val="00433A4A"/>
    <w:rsid w:val="0045544A"/>
    <w:rsid w:val="004661B4"/>
    <w:rsid w:val="004C1238"/>
    <w:rsid w:val="004C12E2"/>
    <w:rsid w:val="004C4291"/>
    <w:rsid w:val="004C6233"/>
    <w:rsid w:val="004C718C"/>
    <w:rsid w:val="004E5C20"/>
    <w:rsid w:val="005012B2"/>
    <w:rsid w:val="00503D7A"/>
    <w:rsid w:val="00506C75"/>
    <w:rsid w:val="00511C2B"/>
    <w:rsid w:val="00515765"/>
    <w:rsid w:val="00522E2D"/>
    <w:rsid w:val="00534CA8"/>
    <w:rsid w:val="00535660"/>
    <w:rsid w:val="00540F2B"/>
    <w:rsid w:val="00553CE8"/>
    <w:rsid w:val="00564B3B"/>
    <w:rsid w:val="005700FE"/>
    <w:rsid w:val="005777DE"/>
    <w:rsid w:val="005860DF"/>
    <w:rsid w:val="005B4607"/>
    <w:rsid w:val="005C5A89"/>
    <w:rsid w:val="005D37FD"/>
    <w:rsid w:val="005E2321"/>
    <w:rsid w:val="00601E0E"/>
    <w:rsid w:val="00626682"/>
    <w:rsid w:val="00641845"/>
    <w:rsid w:val="00664609"/>
    <w:rsid w:val="006A387B"/>
    <w:rsid w:val="006A5459"/>
    <w:rsid w:val="006B3112"/>
    <w:rsid w:val="006B5905"/>
    <w:rsid w:val="006F6B2E"/>
    <w:rsid w:val="0070210A"/>
    <w:rsid w:val="007067D5"/>
    <w:rsid w:val="00715C87"/>
    <w:rsid w:val="00765492"/>
    <w:rsid w:val="00770FF3"/>
    <w:rsid w:val="00782106"/>
    <w:rsid w:val="007A4514"/>
    <w:rsid w:val="007B4B62"/>
    <w:rsid w:val="007C7369"/>
    <w:rsid w:val="007E3E6D"/>
    <w:rsid w:val="008077ED"/>
    <w:rsid w:val="00831E75"/>
    <w:rsid w:val="008570C8"/>
    <w:rsid w:val="008652B0"/>
    <w:rsid w:val="008726E6"/>
    <w:rsid w:val="008876F5"/>
    <w:rsid w:val="0089267D"/>
    <w:rsid w:val="008A46C9"/>
    <w:rsid w:val="008C59E8"/>
    <w:rsid w:val="008D57AD"/>
    <w:rsid w:val="008F1BB8"/>
    <w:rsid w:val="008F6C03"/>
    <w:rsid w:val="00913621"/>
    <w:rsid w:val="00915959"/>
    <w:rsid w:val="00934EC7"/>
    <w:rsid w:val="0094275E"/>
    <w:rsid w:val="009467DF"/>
    <w:rsid w:val="00981DD6"/>
    <w:rsid w:val="009B4E09"/>
    <w:rsid w:val="009B616D"/>
    <w:rsid w:val="009E106C"/>
    <w:rsid w:val="00A02999"/>
    <w:rsid w:val="00A17F68"/>
    <w:rsid w:val="00A21A70"/>
    <w:rsid w:val="00A23F52"/>
    <w:rsid w:val="00A36A52"/>
    <w:rsid w:val="00A57493"/>
    <w:rsid w:val="00A749E9"/>
    <w:rsid w:val="00A821A8"/>
    <w:rsid w:val="00AA329A"/>
    <w:rsid w:val="00AE3547"/>
    <w:rsid w:val="00AE3C21"/>
    <w:rsid w:val="00AE4939"/>
    <w:rsid w:val="00B00DB3"/>
    <w:rsid w:val="00B01232"/>
    <w:rsid w:val="00B0783F"/>
    <w:rsid w:val="00B12314"/>
    <w:rsid w:val="00B40546"/>
    <w:rsid w:val="00B62863"/>
    <w:rsid w:val="00B63801"/>
    <w:rsid w:val="00B761D4"/>
    <w:rsid w:val="00B77C53"/>
    <w:rsid w:val="00B97F30"/>
    <w:rsid w:val="00BC3D9F"/>
    <w:rsid w:val="00BD2784"/>
    <w:rsid w:val="00BD7DEC"/>
    <w:rsid w:val="00BF583A"/>
    <w:rsid w:val="00C43C4E"/>
    <w:rsid w:val="00C43EBF"/>
    <w:rsid w:val="00C57A5F"/>
    <w:rsid w:val="00C64A71"/>
    <w:rsid w:val="00C74B71"/>
    <w:rsid w:val="00C7513F"/>
    <w:rsid w:val="00C873FE"/>
    <w:rsid w:val="00CD6D10"/>
    <w:rsid w:val="00CE103B"/>
    <w:rsid w:val="00D0299B"/>
    <w:rsid w:val="00D104B5"/>
    <w:rsid w:val="00D1303F"/>
    <w:rsid w:val="00D40606"/>
    <w:rsid w:val="00D6378D"/>
    <w:rsid w:val="00D66A48"/>
    <w:rsid w:val="00D84DD6"/>
    <w:rsid w:val="00D908CC"/>
    <w:rsid w:val="00DC62DE"/>
    <w:rsid w:val="00E12BD9"/>
    <w:rsid w:val="00E317CA"/>
    <w:rsid w:val="00E32B78"/>
    <w:rsid w:val="00E3554D"/>
    <w:rsid w:val="00E371B9"/>
    <w:rsid w:val="00E4371D"/>
    <w:rsid w:val="00E97AEB"/>
    <w:rsid w:val="00EC07B2"/>
    <w:rsid w:val="00EC3E0B"/>
    <w:rsid w:val="00ED4BDD"/>
    <w:rsid w:val="00EF22E3"/>
    <w:rsid w:val="00F01791"/>
    <w:rsid w:val="00F274E8"/>
    <w:rsid w:val="00F347B9"/>
    <w:rsid w:val="00F660F2"/>
    <w:rsid w:val="00F66548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460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796-12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FUA27UETQC2X-86-177078</_dlc_DocId>
    <_dlc_DocIdUrl xmlns="c27bb2c1-a177-45d1-b251-525dd66ab087">
      <Url>http://dpszn.vmr.gov.ua/vk/_layouts/DocIdRedir.aspx?ID=FUA27UETQC2X-86-177078</Url>
      <Description>FUA27UETQC2X-86-177078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3BC88510-46AB-4257-BE17-D9F04F22CF5C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13</cp:revision>
  <cp:lastPrinted>2024-05-20T12:06:00Z</cp:lastPrinted>
  <dcterms:created xsi:type="dcterms:W3CDTF">2023-04-17T06:32:00Z</dcterms:created>
  <dcterms:modified xsi:type="dcterms:W3CDTF">2025-02-17T07:04:00Z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92f68bc6-db86-478f-b5b7-2da4a3061a26</vt:lpwstr>
  </property>
</Properties>
</file>